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00BBB02" w:rsidR="003676DA" w:rsidRPr="00414D4C" w:rsidRDefault="00C1068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1068E">
                              <w:rPr>
                                <w:rFonts w:ascii="Arial" w:hAnsi="Arial" w:cs="Arial"/>
                                <w:b/>
                                <w:color w:val="000000" w:themeColor="text1"/>
                                <w:sz w:val="26"/>
                                <w:szCs w:val="26"/>
                                <w14:textOutline w14:w="6350" w14:cap="rnd" w14:cmpd="sng" w14:algn="ctr">
                                  <w14:noFill/>
                                  <w14:prstDash w14:val="solid"/>
                                  <w14:bevel/>
                                </w14:textOutline>
                              </w:rPr>
                              <w:t>USFS - Inyo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00BBB02" w:rsidR="003676DA" w:rsidRPr="00414D4C" w:rsidRDefault="00C1068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1068E">
                        <w:rPr>
                          <w:rFonts w:ascii="Arial" w:hAnsi="Arial" w:cs="Arial"/>
                          <w:b/>
                          <w:color w:val="000000" w:themeColor="text1"/>
                          <w:sz w:val="26"/>
                          <w:szCs w:val="26"/>
                          <w14:textOutline w14:w="6350" w14:cap="rnd" w14:cmpd="sng" w14:algn="ctr">
                            <w14:noFill/>
                            <w14:prstDash w14:val="solid"/>
                            <w14:bevel/>
                          </w14:textOutline>
                        </w:rPr>
                        <w:t>USFS - Inyo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BFA8CE4" w14:textId="48D5E15E" w:rsidR="00607F2A" w:rsidRPr="00607F2A" w:rsidRDefault="00607F2A" w:rsidP="00E85E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#1a – Applicant may not use dates in the future. Applicant must identify the most recent 12 month period for which they have accurate OHV Opportunity and visitation data.</w:t>
      </w:r>
    </w:p>
    <w:p w14:paraId="65FBD3ED"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#1a – 1c – Dates are inconsistent.</w:t>
      </w:r>
    </w:p>
    <w:p w14:paraId="08FE27C8"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#2 – 5 – Applicant must verify responses by final submission.</w:t>
      </w:r>
    </w:p>
    <w:p w14:paraId="1948E0BA" w14:textId="7175FFAA"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#7b – Narrative does not support the selection.</w:t>
      </w:r>
      <w:r w:rsidR="00F624FA">
        <w:rPr>
          <w:rFonts w:ascii="Arial" w:hAnsi="Arial" w:cs="Arial"/>
          <w:sz w:val="22"/>
          <w:szCs w:val="22"/>
        </w:rPr>
        <w:t xml:space="preserve"> </w:t>
      </w:r>
      <w:r w:rsidRPr="00607F2A">
        <w:rPr>
          <w:rFonts w:ascii="Arial" w:hAnsi="Arial" w:cs="Arial"/>
          <w:sz w:val="22"/>
          <w:szCs w:val="22"/>
        </w:rPr>
        <w:t xml:space="preserve"> Applicant must clarify the frequency of patrols, patrol personnel, and percent of lands covered to support the selection.</w:t>
      </w:r>
    </w:p>
    <w:p w14:paraId="1BE1F479"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#7c – Applicant must provide more details on each to support the selections.</w:t>
      </w:r>
    </w:p>
    <w:p w14:paraId="466C8293"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#8b – Applicant must explain if recommendations are made for improved species management and if strategies respond to changing conditions that affect species survival.</w:t>
      </w:r>
    </w:p>
    <w:p w14:paraId="4BDA1938"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#9a – Applicant must further explain its "systematic methodology" for evaluating soil conditions of its OHV Opportunities.</w:t>
      </w:r>
    </w:p>
    <w:p w14:paraId="09064EB1"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lastRenderedPageBreak/>
        <w:t>#9b – Applicant provided an incomplete response and must explain its methods to address soil issues.</w:t>
      </w:r>
    </w:p>
    <w:p w14:paraId="52058B81"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#11a – It is unclear if the literature provided to visitors and kiosks describe safe and responsible OHV recreational practices. Applicant must explain/provide examples.</w:t>
      </w:r>
    </w:p>
    <w:p w14:paraId="39C5BE56"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Applicant must provide more details/examples to support the selections.</w:t>
      </w:r>
    </w:p>
    <w:p w14:paraId="7223C759" w14:textId="77777777" w:rsidR="00607F2A" w:rsidRPr="00607F2A" w:rsidRDefault="00607F2A" w:rsidP="00607F2A">
      <w:pPr>
        <w:pStyle w:val="ListParagraph"/>
        <w:numPr>
          <w:ilvl w:val="0"/>
          <w:numId w:val="1"/>
        </w:numPr>
        <w:spacing w:line="259" w:lineRule="auto"/>
        <w:rPr>
          <w:rFonts w:ascii="Arial" w:hAnsi="Arial" w:cs="Arial"/>
          <w:sz w:val="22"/>
          <w:szCs w:val="22"/>
        </w:rPr>
      </w:pPr>
      <w:r w:rsidRPr="00607F2A">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7119A8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C1068E" w:rsidRPr="00C1068E">
                              <w:rPr>
                                <w:rFonts w:ascii="Arial" w:hAnsi="Arial" w:cs="Arial"/>
                                <w:b/>
                                <w:color w:val="000000" w:themeColor="text1"/>
                                <w:sz w:val="26"/>
                                <w:szCs w:val="26"/>
                              </w:rPr>
                              <w:t>G21-02-05-G01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17119A8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C1068E" w:rsidRPr="00C1068E">
                        <w:rPr>
                          <w:rFonts w:ascii="Arial" w:hAnsi="Arial" w:cs="Arial"/>
                          <w:b/>
                          <w:color w:val="000000" w:themeColor="text1"/>
                          <w:sz w:val="26"/>
                          <w:szCs w:val="26"/>
                        </w:rPr>
                        <w:t>G21-02-05-G01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2398D7B" w:rsidR="00687C41" w:rsidRDefault="00C1068E"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6EA1CF1A" w:rsidR="00183D61" w:rsidRDefault="00C1068E"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598936BB" w:rsidR="00712330" w:rsidRDefault="00C1068E"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1136F6BE" w:rsidR="008C53F4" w:rsidRDefault="00C1068E"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23C1CE1B" w14:textId="77777777" w:rsidR="00C1068E" w:rsidRPr="00C1068E" w:rsidRDefault="00C1068E" w:rsidP="00C1068E">
      <w:pPr>
        <w:pStyle w:val="ListParagraph"/>
        <w:numPr>
          <w:ilvl w:val="0"/>
          <w:numId w:val="7"/>
        </w:numPr>
        <w:autoSpaceDE w:val="0"/>
        <w:autoSpaceDN w:val="0"/>
        <w:adjustRightInd w:val="0"/>
        <w:rPr>
          <w:rFonts w:ascii="Arial" w:hAnsi="Arial" w:cs="Arial"/>
          <w:sz w:val="22"/>
          <w:szCs w:val="22"/>
        </w:rPr>
      </w:pPr>
      <w:r w:rsidRPr="00C1068E">
        <w:rPr>
          <w:rFonts w:ascii="Arial" w:hAnsi="Arial" w:cs="Arial"/>
          <w:sz w:val="22"/>
          <w:szCs w:val="22"/>
        </w:rPr>
        <w:t xml:space="preserve">Staff #1 “OHV Field Technicians” – Applicant must provide additional details on how the rate was determined as it has increase significantly from last year’s application. Additionally, Applicant should identify how many staff are being funded in this line item. </w:t>
      </w:r>
    </w:p>
    <w:p w14:paraId="5D0CADB6" w14:textId="77777777" w:rsidR="00C1068E" w:rsidRPr="00C1068E" w:rsidRDefault="00C1068E" w:rsidP="00C1068E">
      <w:pPr>
        <w:pStyle w:val="ListParagraph"/>
        <w:numPr>
          <w:ilvl w:val="0"/>
          <w:numId w:val="7"/>
        </w:numPr>
        <w:autoSpaceDE w:val="0"/>
        <w:autoSpaceDN w:val="0"/>
        <w:adjustRightInd w:val="0"/>
        <w:rPr>
          <w:rFonts w:ascii="Arial" w:hAnsi="Arial" w:cs="Arial"/>
          <w:sz w:val="22"/>
          <w:szCs w:val="22"/>
        </w:rPr>
      </w:pPr>
      <w:r w:rsidRPr="00C1068E">
        <w:rPr>
          <w:rFonts w:ascii="Arial" w:hAnsi="Arial" w:cs="Arial"/>
          <w:sz w:val="22"/>
          <w:szCs w:val="22"/>
        </w:rPr>
        <w:t xml:space="preserve">Materials/Supplies #5, 6, 7 and 8 – Applicant must provide additional details on how the costs were determined. </w:t>
      </w:r>
    </w:p>
    <w:p w14:paraId="4A70F908" w14:textId="77777777" w:rsidR="00C1068E" w:rsidRPr="00C1068E" w:rsidRDefault="00C1068E" w:rsidP="00C1068E">
      <w:pPr>
        <w:pStyle w:val="ListParagraph"/>
        <w:numPr>
          <w:ilvl w:val="0"/>
          <w:numId w:val="7"/>
        </w:numPr>
        <w:autoSpaceDE w:val="0"/>
        <w:autoSpaceDN w:val="0"/>
        <w:adjustRightInd w:val="0"/>
        <w:rPr>
          <w:rFonts w:ascii="Arial" w:hAnsi="Arial" w:cs="Arial"/>
          <w:sz w:val="22"/>
          <w:szCs w:val="22"/>
        </w:rPr>
      </w:pPr>
      <w:r w:rsidRPr="00C1068E">
        <w:rPr>
          <w:rFonts w:ascii="Arial" w:hAnsi="Arial" w:cs="Arial"/>
          <w:sz w:val="22"/>
          <w:szCs w:val="22"/>
        </w:rPr>
        <w:t xml:space="preserve">Others #1 “Per Diem” – Applicant must provide additional details on how cost was determined as it seems excessive to like Projects.  </w:t>
      </w:r>
    </w:p>
    <w:p w14:paraId="6B0E808B" w14:textId="77777777" w:rsidR="00C1068E" w:rsidRPr="00C1068E" w:rsidRDefault="00C1068E" w:rsidP="00C1068E">
      <w:pPr>
        <w:pStyle w:val="ListParagraph"/>
        <w:numPr>
          <w:ilvl w:val="0"/>
          <w:numId w:val="7"/>
        </w:numPr>
        <w:autoSpaceDE w:val="0"/>
        <w:autoSpaceDN w:val="0"/>
        <w:adjustRightInd w:val="0"/>
        <w:rPr>
          <w:rFonts w:ascii="Arial" w:hAnsi="Arial" w:cs="Arial"/>
          <w:sz w:val="22"/>
          <w:szCs w:val="22"/>
        </w:rPr>
      </w:pPr>
      <w:r w:rsidRPr="00C1068E">
        <w:rPr>
          <w:rFonts w:ascii="Arial" w:hAnsi="Arial" w:cs="Arial"/>
          <w:sz w:val="22"/>
          <w:szCs w:val="22"/>
        </w:rPr>
        <w:t xml:space="preserve">Other(s) #2 “Rental of Mini Excavator” – Applicant must provide additional justification that the piece of Equipment will be used 30-31 days a month to charge for the entire month. If not, Applicant must revise to only charge for the days that the piece of Equipment is actually used on the Project.  Additionally, Applicant should move this line item to the Equipment Use Expense category.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AD4AFBA" w14:textId="56DDFEB0" w:rsidR="00C1068E" w:rsidRPr="00C1068E" w:rsidRDefault="00C1068E" w:rsidP="00C1068E">
      <w:pPr>
        <w:numPr>
          <w:ilvl w:val="0"/>
          <w:numId w:val="2"/>
        </w:numPr>
        <w:contextualSpacing/>
        <w:rPr>
          <w:rFonts w:ascii="Arial" w:hAnsi="Arial" w:cs="Arial"/>
          <w:sz w:val="22"/>
          <w:szCs w:val="22"/>
        </w:rPr>
      </w:pPr>
      <w:r w:rsidRPr="00C1068E">
        <w:rPr>
          <w:rFonts w:ascii="Arial" w:hAnsi="Arial" w:cs="Arial"/>
          <w:sz w:val="22"/>
          <w:szCs w:val="22"/>
        </w:rPr>
        <w:t xml:space="preserve">#2 – Narrative does not support the selections of “Potential trespass” and “Additional damage to Facilities”. </w:t>
      </w:r>
      <w:r w:rsidR="00F624FA">
        <w:rPr>
          <w:rFonts w:ascii="Arial" w:hAnsi="Arial" w:cs="Arial"/>
          <w:sz w:val="22"/>
          <w:szCs w:val="22"/>
        </w:rPr>
        <w:t xml:space="preserve"> </w:t>
      </w:r>
      <w:r w:rsidRPr="00C1068E">
        <w:rPr>
          <w:rFonts w:ascii="Arial" w:hAnsi="Arial" w:cs="Arial"/>
          <w:sz w:val="22"/>
          <w:szCs w:val="22"/>
        </w:rPr>
        <w:t>Applicant must provide additional details and/or examples for each selection.</w:t>
      </w:r>
    </w:p>
    <w:p w14:paraId="4C666B0E" w14:textId="77777777" w:rsidR="00C1068E" w:rsidRPr="00C1068E" w:rsidRDefault="00C1068E" w:rsidP="00C1068E">
      <w:pPr>
        <w:numPr>
          <w:ilvl w:val="0"/>
          <w:numId w:val="2"/>
        </w:numPr>
        <w:contextualSpacing/>
        <w:rPr>
          <w:rFonts w:ascii="Arial" w:hAnsi="Arial" w:cs="Arial"/>
          <w:sz w:val="22"/>
          <w:szCs w:val="22"/>
        </w:rPr>
      </w:pPr>
      <w:r w:rsidRPr="00C1068E">
        <w:rPr>
          <w:rFonts w:ascii="Arial" w:hAnsi="Arial" w:cs="Arial"/>
          <w:sz w:val="22"/>
          <w:szCs w:val="22"/>
        </w:rPr>
        <w:lastRenderedPageBreak/>
        <w:t xml:space="preserve">#3 – Narrative does not support the selection of “Providing varied levels of riding difficulty”.  Applicant must provide examples of the activities performed as part of this Project to support this selection.  </w:t>
      </w:r>
    </w:p>
    <w:p w14:paraId="1025D4ED" w14:textId="77777777" w:rsidR="00C1068E" w:rsidRPr="00C1068E" w:rsidRDefault="00C1068E" w:rsidP="00C1068E">
      <w:pPr>
        <w:numPr>
          <w:ilvl w:val="0"/>
          <w:numId w:val="2"/>
        </w:numPr>
        <w:contextualSpacing/>
        <w:rPr>
          <w:rFonts w:ascii="Arial" w:hAnsi="Arial" w:cs="Arial"/>
          <w:sz w:val="22"/>
          <w:szCs w:val="22"/>
        </w:rPr>
      </w:pPr>
      <w:r w:rsidRPr="00C1068E">
        <w:rPr>
          <w:rFonts w:ascii="Arial" w:hAnsi="Arial" w:cs="Arial"/>
          <w:sz w:val="22"/>
          <w:szCs w:val="22"/>
        </w:rPr>
        <w:t>#4 – Narrative does not support the selections.  Applicant must explain who hosted the public meeting. In addition, Applicant must explain how the stakeholders are stakeholders to the Project as well as the location of the stakeholder meeting.</w:t>
      </w:r>
    </w:p>
    <w:p w14:paraId="16663D99" w14:textId="77777777" w:rsidR="00C1068E" w:rsidRPr="00C1068E" w:rsidRDefault="00C1068E" w:rsidP="00C1068E">
      <w:pPr>
        <w:numPr>
          <w:ilvl w:val="0"/>
          <w:numId w:val="2"/>
        </w:numPr>
        <w:contextualSpacing/>
        <w:rPr>
          <w:rFonts w:ascii="Arial" w:hAnsi="Arial" w:cs="Arial"/>
          <w:sz w:val="22"/>
          <w:szCs w:val="22"/>
        </w:rPr>
      </w:pPr>
      <w:r w:rsidRPr="00C1068E">
        <w:rPr>
          <w:rFonts w:ascii="Arial" w:hAnsi="Arial" w:cs="Arial"/>
          <w:sz w:val="22"/>
          <w:szCs w:val="22"/>
        </w:rPr>
        <w:t>#6 – Narrative does not support the selection of “Providing sanitary facilities”. Applicant must provide additional details.</w:t>
      </w:r>
    </w:p>
    <w:p w14:paraId="50C80A1A" w14:textId="6B55E494" w:rsidR="00F04D40" w:rsidRPr="00A72250" w:rsidRDefault="00C1068E" w:rsidP="00C1068E">
      <w:pPr>
        <w:numPr>
          <w:ilvl w:val="0"/>
          <w:numId w:val="2"/>
        </w:numPr>
        <w:contextualSpacing/>
        <w:rPr>
          <w:rFonts w:ascii="Arial" w:hAnsi="Arial" w:cs="Arial"/>
          <w:sz w:val="22"/>
          <w:szCs w:val="22"/>
        </w:rPr>
      </w:pPr>
      <w:r w:rsidRPr="00C1068E">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USFS – Inyo National Forest but does not does not clearly state if those opportunities are accessed by motorized use within the Project area of this Application.  </w:t>
      </w:r>
    </w:p>
    <w:sectPr w:rsidR="00F04D40" w:rsidRPr="00A72250"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3EA529F0" w:rsidR="00AD43F5" w:rsidRPr="00407912" w:rsidRDefault="00C1068E" w:rsidP="00AD43F5">
    <w:pPr>
      <w:pStyle w:val="Footer"/>
      <w:jc w:val="right"/>
      <w:rPr>
        <w:rFonts w:ascii="Arial" w:hAnsi="Arial" w:cs="Arial"/>
        <w:sz w:val="22"/>
        <w:szCs w:val="22"/>
      </w:rPr>
    </w:pPr>
    <w:r w:rsidRPr="00C1068E">
      <w:rPr>
        <w:rFonts w:ascii="Arial" w:hAnsi="Arial" w:cs="Arial"/>
        <w:sz w:val="22"/>
        <w:szCs w:val="22"/>
      </w:rPr>
      <w:t>USFS - Inyo National Forest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607F2A">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607F2A">
              <w:rPr>
                <w:rFonts w:ascii="Arial" w:hAnsi="Arial" w:cs="Arial"/>
                <w:b/>
                <w:bCs/>
                <w:noProof/>
                <w:sz w:val="22"/>
                <w:szCs w:val="22"/>
              </w:rPr>
              <w:t>3</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1" w:cryptProviderType="rsaAES" w:cryptAlgorithmClass="hash" w:cryptAlgorithmType="typeAny" w:cryptAlgorithmSid="14" w:cryptSpinCount="100000" w:hash="aUoEfh+v21UymnAeiHzTRXYByOJdm6DCStptfO4ZEx2FbzdK9fkn4fq9p81MXwaT/1pfrDVe8DB3n754vMNsOw==" w:salt="Kg6RQ+8N+XWmOnRUj0VL4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A36BA"/>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07F2A"/>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3E71"/>
    <w:rsid w:val="00B87F70"/>
    <w:rsid w:val="00B93326"/>
    <w:rsid w:val="00BE5E19"/>
    <w:rsid w:val="00C03325"/>
    <w:rsid w:val="00C1068E"/>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624F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A415B-9976-4365-BE67-0B14B142A91E}">
  <ds:schemaRefs>
    <ds:schemaRef ds:uri="http://purl.org/dc/elements/1.1/"/>
    <ds:schemaRef ds:uri="http://purl.org/dc/terms/"/>
    <ds:schemaRef ds:uri="http://schemas.openxmlformats.org/package/2006/metadata/core-properties"/>
    <ds:schemaRef ds:uri="http://schemas.microsoft.com/office/infopath/2007/PartnerControls"/>
    <ds:schemaRef ds:uri="fda81726-74ef-4cf2-b480-ee972c160129"/>
    <ds:schemaRef ds:uri="6ad59cdd-060a-4532-ae1c-9fb847ec2404"/>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D87B48-D134-48AC-82DB-7D0570C0CF6B}">
  <ds:schemaRefs>
    <ds:schemaRef ds:uri="http://schemas.openxmlformats.org/officeDocument/2006/bibliography"/>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811</Words>
  <Characters>4629</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6</cp:revision>
  <dcterms:created xsi:type="dcterms:W3CDTF">2021-05-06T20:00:00Z</dcterms:created>
  <dcterms:modified xsi:type="dcterms:W3CDTF">2021-05-10T15:37:00Z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